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tabs>
          <w:tab w:val="clear" w:pos="708"/>
          <w:tab w:val="left" w:pos="9071" w:leader="none"/>
        </w:tabs>
        <w:jc w:val="center"/>
        <w:rPr/>
      </w:pPr>
      <w:r>
        <w:rPr/>
        <w:drawing>
          <wp:inline distT="0" distB="0" distL="0" distR="0">
            <wp:extent cx="800100" cy="847725"/>
            <wp:effectExtent l="0" t="0" r="0" b="0"/>
            <wp:docPr id="1" name="Imagem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7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dotexto"/>
        <w:spacing w:lineRule="auto" w:line="216" w:before="0" w:after="0"/>
        <w:jc w:val="center"/>
        <w:rPr>
          <w:b/>
          <w:b/>
        </w:rPr>
      </w:pPr>
      <w:r>
        <w:rPr>
          <w:rFonts w:cs="Times New Roman" w:ascii="Times New Roman" w:hAnsi="Times New Roman"/>
          <w:b/>
        </w:rPr>
        <w:t>MINISTÉRIO DA DEFESA</w:t>
      </w:r>
    </w:p>
    <w:p>
      <w:pPr>
        <w:pStyle w:val="Corpodotexto"/>
        <w:spacing w:lineRule="auto" w:line="216" w:before="0" w:after="0"/>
        <w:jc w:val="center"/>
        <w:rPr>
          <w:b/>
          <w:b/>
        </w:rPr>
      </w:pPr>
      <w:r>
        <w:rPr>
          <w:rFonts w:cs="Times New Roman" w:ascii="Times New Roman" w:hAnsi="Times New Roman"/>
          <w:b/>
        </w:rPr>
        <w:t>EXÉRCITO BRASILEIRO</w:t>
      </w:r>
    </w:p>
    <w:p>
      <w:pPr>
        <w:pStyle w:val="Corpodotexto"/>
        <w:spacing w:lineRule="auto" w:line="216" w:before="0" w:after="0"/>
        <w:jc w:val="center"/>
        <w:rPr>
          <w:b/>
          <w:b/>
        </w:rPr>
      </w:pPr>
      <w:r>
        <w:rPr>
          <w:rFonts w:cs="Times New Roman" w:ascii="Times New Roman" w:hAnsi="Times New Roman"/>
          <w:b/>
        </w:rPr>
        <w:t>DEPARTAMENTO DE CIÊNCIA E TECNOLOGIA</w:t>
      </w:r>
    </w:p>
    <w:p>
      <w:pPr>
        <w:pStyle w:val="Corpodotexto"/>
        <w:spacing w:lineRule="auto" w:line="216" w:before="0" w:after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</w:rPr>
        <w:t>CENTRO TECNOLÓGICO DO EXÉRCITO</w:t>
      </w:r>
    </w:p>
    <w:p>
      <w:pPr>
        <w:pStyle w:val="Corpodotexto"/>
        <w:spacing w:lineRule="auto" w:line="216" w:before="0" w:after="0"/>
        <w:jc w:val="center"/>
        <w:rPr>
          <w:rFonts w:cs="Arial"/>
          <w:b/>
          <w:b/>
          <w:bCs/>
        </w:rPr>
      </w:pPr>
      <w:r>
        <w:rPr>
          <w:rFonts w:cs="Arial" w:ascii="Times New Roman" w:hAnsi="Times New Roman"/>
          <w:b/>
          <w:bCs/>
          <w:color w:val="000000"/>
        </w:rPr>
        <w:t>CENTRO TECNOLÓGICO GENERAL ARGUS</w:t>
      </w:r>
    </w:p>
    <w:p>
      <w:pPr>
        <w:pStyle w:val="Normal"/>
        <w:spacing w:lineRule="auto" w:line="240" w:before="0" w:after="0"/>
        <w:jc w:val="center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Estudo Técnico Preliminar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1. Informações Básicas</w:t>
      </w:r>
    </w:p>
    <w:p>
      <w:pPr>
        <w:pStyle w:val="Normal"/>
        <w:spacing w:lineRule="auto" w:line="240" w:before="0" w:after="0"/>
        <w:jc w:val="both"/>
        <w:rPr>
          <w:rFonts w:cs="LiberationSerif"/>
          <w:sz w:val="24"/>
          <w:szCs w:val="24"/>
        </w:rPr>
      </w:pPr>
      <w:r>
        <w:rPr>
          <w:rFonts w:cs="LiberationSerif"/>
          <w:sz w:val="24"/>
          <w:szCs w:val="24"/>
        </w:rPr>
        <w:t xml:space="preserve">Número do Estudo Técnico Preliminar: </w:t>
      </w:r>
      <w:r>
        <w:rPr>
          <w:rFonts w:cs="LiberationSerif"/>
          <w:color w:val="auto"/>
          <w:sz w:val="24"/>
          <w:szCs w:val="24"/>
        </w:rPr>
        <w:t>003/2023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</w:rPr>
      </w:pPr>
      <w:r>
        <w:rPr>
          <w:rFonts w:cs="LiberationSerif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2. Descrição da necessidade</w:t>
      </w:r>
    </w:p>
    <w:p>
      <w:pPr>
        <w:pStyle w:val="Corpodotextorecuado"/>
        <w:tabs>
          <w:tab w:val="clear" w:pos="708"/>
          <w:tab w:val="left" w:pos="709" w:leader="none"/>
        </w:tabs>
        <w:spacing w:lineRule="auto" w:line="240" w:before="0" w:after="0"/>
        <w:ind w:left="0" w:right="0" w:hanging="0"/>
        <w:jc w:val="both"/>
        <w:rPr>
          <w:color w:val="FF0000"/>
          <w:sz w:val="24"/>
          <w:szCs w:val="24"/>
        </w:rPr>
      </w:pPr>
      <w:r>
        <w:rPr>
          <w:rStyle w:val="Fontepargpadro"/>
          <w:b w:val="false"/>
          <w:bCs w:val="false"/>
          <w:color w:val="000000"/>
          <w:sz w:val="22"/>
          <w:szCs w:val="22"/>
          <w:lang w:eastAsia="zh-CN"/>
        </w:rPr>
        <w:t xml:space="preserve">Os postes em questão são para atender a demanda de ligação elétrica da ETE atrás da SMT , no CTEx, pois os postes que levavam energias estão caindo e deteriorados devido a intempéries. </w:t>
      </w:r>
      <w:r>
        <w:rPr>
          <w:rStyle w:val="Fontepargpadro"/>
          <w:rFonts w:eastAsia="Times New Roman" w:cs="Times New Roman"/>
          <w:b w:val="false"/>
          <w:bCs w:val="false"/>
          <w:color w:val="000000"/>
          <w:sz w:val="22"/>
          <w:szCs w:val="22"/>
          <w:lang w:eastAsia="zh-CN" w:bidi="ar-SA"/>
        </w:rPr>
        <w:t xml:space="preserve">Se faz extremamente necessário e urgente a troca desses postes pois a ETE precisa de </w:t>
      </w:r>
      <w:r>
        <w:rPr>
          <w:rStyle w:val="Fontepargpadro"/>
          <w:b w:val="false"/>
          <w:bCs w:val="false"/>
          <w:color w:val="000000"/>
          <w:sz w:val="22"/>
          <w:szCs w:val="22"/>
          <w:lang w:eastAsia="zh-CN"/>
        </w:rPr>
        <w:t xml:space="preserve"> carga de energia para que o funcionamento de tratamento de esgoto funcione , e que não traga problemas ao meio ambiente. 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3. Área requisitante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tbl>
      <w:tblPr>
        <w:tblStyle w:val="Tabelacomgrade"/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0"/>
        <w:gridCol w:w="5387"/>
      </w:tblGrid>
      <w:tr>
        <w:trPr/>
        <w:tc>
          <w:tcPr>
            <w:tcW w:w="453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LiberationSerif-Bold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  <w:kern w:val="0"/>
                <w:sz w:val="24"/>
                <w:szCs w:val="24"/>
                <w:lang w:val="pt-BR" w:eastAsia="en-US" w:bidi="ar-SA"/>
              </w:rPr>
              <w:t>Área Requisitante</w:t>
            </w:r>
          </w:p>
        </w:tc>
        <w:tc>
          <w:tcPr>
            <w:tcW w:w="53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LiberationSerif-Bold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  <w:kern w:val="0"/>
                <w:sz w:val="24"/>
                <w:szCs w:val="24"/>
                <w:lang w:val="pt-BR" w:eastAsia="en-US" w:bidi="ar-SA"/>
              </w:rPr>
              <w:t>Responsável</w:t>
            </w:r>
          </w:p>
        </w:tc>
      </w:tr>
      <w:tr>
        <w:trPr/>
        <w:tc>
          <w:tcPr>
            <w:tcW w:w="453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cs="LiberationSerif-Bold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  <w:kern w:val="0"/>
                <w:sz w:val="22"/>
                <w:szCs w:val="22"/>
                <w:lang w:val="pt-BR" w:eastAsia="en-US" w:bidi="ar-SA"/>
              </w:rPr>
              <w:t xml:space="preserve">                                         </w:t>
            </w:r>
            <w:r>
              <w:rPr>
                <w:rFonts w:eastAsia="Calibri" w:cs="LiberationSerif-Bold"/>
                <w:b/>
                <w:bCs/>
                <w:color w:val="000000"/>
                <w:kern w:val="0"/>
                <w:sz w:val="22"/>
                <w:szCs w:val="22"/>
                <w:lang w:val="pt-BR" w:eastAsia="en-US" w:bidi="ar-SA"/>
              </w:rPr>
              <w:t>PMG</w:t>
            </w:r>
          </w:p>
        </w:tc>
        <w:tc>
          <w:tcPr>
            <w:tcW w:w="53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cs="LiberationSerif-Bold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  <w:kern w:val="0"/>
                <w:sz w:val="22"/>
                <w:szCs w:val="22"/>
                <w:lang w:val="pt-BR" w:eastAsia="en-US" w:bidi="ar-SA"/>
              </w:rPr>
              <w:t xml:space="preserve">            </w:t>
            </w:r>
            <w:r>
              <w:rPr>
                <w:rFonts w:eastAsia="Calibri" w:cs="LiberationSerif-Bold"/>
                <w:b/>
                <w:bCs/>
                <w:color w:val="000000"/>
                <w:kern w:val="0"/>
                <w:sz w:val="22"/>
                <w:szCs w:val="22"/>
                <w:lang w:val="pt-BR" w:eastAsia="en-US" w:bidi="ar-SA"/>
              </w:rPr>
              <w:t>VANDERSON  DOS SANTOS OLIVEIRA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4. Descrição dos Requisitos da Contratação necessários e suficientes à escolha da solução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suppressAutoHyphens w:val="true"/>
        <w:bidi w:val="0"/>
        <w:spacing w:lineRule="auto" w:line="264" w:before="0" w:after="0"/>
        <w:ind w:left="0" w:right="0" w:firstLine="567"/>
        <w:jc w:val="both"/>
        <w:rPr>
          <w:rFonts w:ascii="Caladea" w:hAnsi="Caladea" w:eastAsia="Times New Roman" w:cs="Times New Roman"/>
          <w:color w:val="auto"/>
          <w:kern w:val="0"/>
          <w:sz w:val="24"/>
          <w:szCs w:val="24"/>
          <w:lang w:val="pt-BR" w:eastAsia="pt-BR" w:bidi="ar-SA"/>
        </w:rPr>
      </w:pPr>
      <w:r>
        <w:rPr>
          <w:rFonts w:eastAsia="Times New Roman" w:cs="Times New Roman" w:ascii="Caladea" w:hAnsi="Caladea"/>
          <w:color w:val="auto"/>
          <w:kern w:val="0"/>
          <w:sz w:val="24"/>
          <w:szCs w:val="24"/>
          <w:lang w:val="pt-BR" w:eastAsia="pt-BR" w:bidi="ar-SA"/>
        </w:rPr>
        <w:t>Trata-se de processo administrativo visando à aquisição de material de consumo para manutenção de energia elétrica, com troca de postes elétricos visando assim atender as necessidades da vida administrativa e também operacional do Centro Tecnológico do Exército e Organizações Militares sediadas dentro da área do CTEx, mas que não possuem autonomia administrativa. O que ora é requerido configura em aquisição de material de consumo, partindo da premissa que a solução demandada atende aos padrões de desempenho e qualidade, podendo ser definida objetivamente por meio de termo de referência, conforme as especificações usuais do mercado.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</w:rPr>
      </w:pPr>
      <w:r>
        <w:rPr>
          <w:rFonts w:cs="LiberationSerif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5. Levantamento de Mercado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Web"/>
        <w:widowControl w:val="false"/>
        <w:suppressAutoHyphens w:val="true"/>
        <w:bidi w:val="0"/>
        <w:spacing w:lineRule="auto" w:line="264" w:before="0" w:after="0"/>
        <w:ind w:left="0" w:right="0" w:hanging="0"/>
        <w:jc w:val="both"/>
        <w:rPr>
          <w:rFonts w:ascii="Calibri" w:hAnsi="Calibri" w:asciiTheme="minorHAnsi" w:hAnsiTheme="minorHAnsi"/>
          <w:color w:val="FF0000"/>
        </w:rPr>
      </w:pPr>
      <w:r>
        <w:rPr>
          <w:rFonts w:eastAsia="Arial" w:cs="Times New Roman" w:ascii="Calibri" w:hAnsi="Calibri"/>
          <w:color w:val="auto"/>
          <w:sz w:val="24"/>
          <w:szCs w:val="24"/>
          <w:lang w:val="pt-BR"/>
        </w:rPr>
        <w:t xml:space="preserve">Foi realizada consulta ao sítio eletrônico </w:t>
      </w:r>
      <w:hyperlink r:id="rId3">
        <w:r>
          <w:rPr>
            <w:rStyle w:val="LinkdaInternet"/>
            <w:rFonts w:eastAsia="Arial" w:cs="Times New Roman" w:ascii="Calibri" w:hAnsi="Calibri"/>
            <w:color w:val="auto"/>
            <w:sz w:val="24"/>
            <w:szCs w:val="24"/>
          </w:rPr>
          <w:t>www.comprasgovernamentais.gov.br</w:t>
        </w:r>
      </w:hyperlink>
      <w:r>
        <w:rPr>
          <w:rFonts w:eastAsia="Arial" w:cs="Times New Roman" w:ascii="Calibri" w:hAnsi="Calibri"/>
          <w:color w:val="auto"/>
          <w:sz w:val="24"/>
          <w:szCs w:val="24"/>
          <w:lang w:val="pt-BR"/>
        </w:rPr>
        <w:t xml:space="preserve"> e verificado os itens deste processo podem ser comparados aos preços praticados por fornecedores de todo o país, o que sinaliza suficientemente a possibilidade de atendimento total da demanda pelo mercado. Em pesquisa ao portal de compras </w:t>
      </w:r>
      <w:hyperlink r:id="rId4">
        <w:r>
          <w:rPr>
            <w:rStyle w:val="LinkdaInternet"/>
            <w:rFonts w:eastAsia="Arial" w:cs="Times New Roman" w:ascii="Calibri" w:hAnsi="Calibri"/>
            <w:color w:val="auto"/>
            <w:sz w:val="24"/>
            <w:szCs w:val="24"/>
          </w:rPr>
          <w:t>www.comprasgovernamentais.gov.br</w:t>
        </w:r>
      </w:hyperlink>
      <w:r>
        <w:rPr>
          <w:rFonts w:eastAsia="Arial" w:cs="Times New Roman" w:ascii="Calibri" w:hAnsi="Calibri"/>
          <w:color w:val="auto"/>
          <w:sz w:val="24"/>
          <w:szCs w:val="24"/>
          <w:lang w:val="pt-BR"/>
        </w:rPr>
        <w:t xml:space="preserve">, não foi encontrado Atas de Registro de preços em vigor que pudessem atender plenamente as necessidades do Órgão. </w:t>
      </w:r>
    </w:p>
    <w:p>
      <w:pPr>
        <w:pStyle w:val="NormalWeb"/>
        <w:widowControl w:val="false"/>
        <w:suppressAutoHyphens w:val="true"/>
        <w:bidi w:val="0"/>
        <w:spacing w:lineRule="auto" w:line="264" w:before="0" w:after="0"/>
        <w:ind w:left="0" w:right="0" w:hanging="0"/>
        <w:jc w:val="both"/>
        <w:rPr>
          <w:rFonts w:ascii="Calibri" w:hAnsi="Calibri" w:asciiTheme="minorHAnsi" w:hAnsiTheme="minorHAnsi"/>
          <w:color w:val="FF0000"/>
        </w:rPr>
      </w:pPr>
      <w:r>
        <w:rPr>
          <w:rFonts w:asciiTheme="minorHAnsi" w:hAnsiTheme="minorHAnsi" w:ascii="Calibri" w:hAnsi="Calibri"/>
          <w:color w:val="FF0000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6. Descrição da solução como um todo</w:t>
      </w:r>
    </w:p>
    <w:p>
      <w:pPr>
        <w:pStyle w:val="Normal"/>
        <w:widowControl w:val="false"/>
        <w:spacing w:lineRule="auto" w:line="240" w:before="0" w:after="0"/>
        <w:jc w:val="both"/>
        <w:rPr>
          <w:color w:val="auto"/>
        </w:rPr>
      </w:pP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eastAsia="pt-BR" w:bidi="ar-SA"/>
        </w:rPr>
        <w:t xml:space="preserve">Diante o exposto foi elaborado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pt-BR" w:eastAsia="pt-BR" w:bidi="ar-SA"/>
        </w:rPr>
        <w:t>uma pesquisa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eastAsia="pt-BR" w:bidi="ar-SA"/>
        </w:rPr>
        <w:t xml:space="preserve"> com os valores  para aquisição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pt-BR" w:eastAsia="pt-BR" w:bidi="ar-SA"/>
        </w:rPr>
        <w:t>desse material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eastAsia="pt-BR" w:bidi="ar-SA"/>
        </w:rPr>
        <w:t xml:space="preserve">, onde estima-se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pt-BR" w:eastAsia="pt-BR" w:bidi="ar-SA"/>
        </w:rPr>
        <w:t>ser conforme abaixo.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FF0000"/>
          <w:sz w:val="24"/>
          <w:szCs w:val="24"/>
        </w:rPr>
      </w:pPr>
      <w:r>
        <w:rPr>
          <w:rFonts w:cs="LiberationSerif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"/>
          <w:color w:val="FF0000"/>
          <w:sz w:val="24"/>
          <w:szCs w:val="24"/>
        </w:rPr>
      </w:pPr>
      <w:r>
        <w:rPr>
          <w:rFonts w:cs="LiberationSerif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tbl>
      <w:tblPr>
        <w:tblW w:w="10095" w:type="dxa"/>
        <w:jc w:val="left"/>
        <w:tblInd w:w="14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70"/>
        <w:gridCol w:w="3965"/>
        <w:gridCol w:w="1020"/>
        <w:gridCol w:w="960"/>
        <w:gridCol w:w="1530"/>
        <w:gridCol w:w="1650"/>
      </w:tblGrid>
      <w:tr>
        <w:trPr>
          <w:tblHeader w:val="true"/>
        </w:trPr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Ttulo4"/>
              <w:widowControl w:val="false"/>
              <w:numPr>
                <w:ilvl w:val="3"/>
                <w:numId w:val="2"/>
              </w:numPr>
              <w:suppressAutoHyphens w:val="false"/>
              <w:spacing w:before="40" w:after="0"/>
              <w:jc w:val="center"/>
              <w:rPr>
                <w:rFonts w:ascii="Calibri" w:hAnsi="Calibri"/>
                <w:b/>
                <w:b/>
                <w:bCs/>
                <w:i w:val="false"/>
                <w:i w:val="false"/>
                <w:iCs w:val="false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  <w:color w:val="auto"/>
                <w:sz w:val="22"/>
                <w:szCs w:val="22"/>
              </w:rPr>
              <w:t>Item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Ttulo4"/>
              <w:widowControl w:val="false"/>
              <w:numPr>
                <w:ilvl w:val="3"/>
                <w:numId w:val="2"/>
              </w:numPr>
              <w:spacing w:before="40" w:after="0"/>
              <w:jc w:val="center"/>
              <w:rPr>
                <w:rFonts w:ascii="Calibri" w:hAnsi="Calibri"/>
                <w:b/>
                <w:b/>
                <w:bCs/>
                <w:i w:val="false"/>
                <w:i w:val="false"/>
                <w:iCs w:val="false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  <w:color w:val="auto"/>
                <w:sz w:val="22"/>
                <w:szCs w:val="22"/>
              </w:rPr>
              <w:t>Discriminação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Ttulo4"/>
              <w:widowControl w:val="false"/>
              <w:numPr>
                <w:ilvl w:val="3"/>
                <w:numId w:val="2"/>
              </w:numPr>
              <w:spacing w:before="40" w:after="0"/>
              <w:jc w:val="center"/>
              <w:rPr>
                <w:rFonts w:ascii="Calibri" w:hAnsi="Calibri"/>
                <w:b/>
                <w:b/>
                <w:bCs/>
                <w:i w:val="false"/>
                <w:i w:val="false"/>
                <w:iCs w:val="false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  <w:color w:val="auto"/>
                <w:sz w:val="22"/>
                <w:szCs w:val="22"/>
              </w:rPr>
              <w:t>Und Fornecimento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>
            <w:pPr>
              <w:pStyle w:val="Ttulo4"/>
              <w:widowControl w:val="false"/>
              <w:numPr>
                <w:ilvl w:val="3"/>
                <w:numId w:val="2"/>
              </w:numPr>
              <w:spacing w:before="40" w:after="0"/>
              <w:jc w:val="center"/>
              <w:rPr>
                <w:rFonts w:ascii="Calibri" w:hAnsi="Calibri"/>
                <w:b/>
                <w:b/>
                <w:bCs/>
                <w:i w:val="false"/>
                <w:i w:val="false"/>
                <w:iCs w:val="false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  <w:color w:val="auto"/>
                <w:sz w:val="22"/>
                <w:szCs w:val="22"/>
              </w:rPr>
              <w:t>Qtd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>
            <w:pPr>
              <w:pStyle w:val="Ttulo4"/>
              <w:widowControl w:val="false"/>
              <w:numPr>
                <w:ilvl w:val="3"/>
                <w:numId w:val="2"/>
              </w:numPr>
              <w:spacing w:before="40" w:after="0"/>
              <w:jc w:val="center"/>
              <w:rPr>
                <w:rFonts w:ascii="Calibri" w:hAnsi="Calibri"/>
                <w:b/>
                <w:b/>
                <w:bCs/>
                <w:i w:val="false"/>
                <w:i w:val="false"/>
                <w:iCs w:val="false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  <w:color w:val="auto"/>
                <w:sz w:val="22"/>
                <w:szCs w:val="22"/>
              </w:rPr>
              <w:t>Valor Unit (R$)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tulo2"/>
              <w:widowControl w:val="false"/>
              <w:numPr>
                <w:ilvl w:val="1"/>
                <w:numId w:val="2"/>
              </w:numPr>
              <w:spacing w:before="40" w:after="0"/>
              <w:ind w:left="0" w:right="-70" w:hanging="0"/>
              <w:jc w:val="center"/>
              <w:rPr>
                <w:rFonts w:ascii="Calibri" w:hAnsi="Calibr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Valor Total (R$)</w:t>
            </w:r>
          </w:p>
        </w:tc>
      </w:tr>
      <w:tr>
        <w:trPr/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POSTE DE CONCRETO CIRCULAR 9,0 METROS- 600 DAN - PARA MÉDIA TENSÃO – TOPO 20 CM BASA 38 CM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zh-CN"/>
              </w:rPr>
              <w:t>UND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R$ </w:t>
            </w:r>
            <w:r>
              <w:rPr>
                <w:rFonts w:ascii="Arial" w:hAnsi="Arial"/>
                <w:color w:val="000000"/>
                <w:sz w:val="20"/>
                <w:szCs w:val="20"/>
                <w:lang w:eastAsia="zh-CN"/>
              </w:rPr>
              <w:t>3.400,00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R$ </w:t>
            </w:r>
            <w:r>
              <w:rPr>
                <w:rFonts w:eastAsia="SimSun" w:cs="Mangal" w:ascii="Arial" w:hAnsi="Arial"/>
                <w:color w:val="000000"/>
                <w:kern w:val="2"/>
                <w:sz w:val="20"/>
                <w:szCs w:val="20"/>
                <w:lang w:val="pt-BR" w:eastAsia="zh-CN" w:bidi="hi-IN"/>
              </w:rPr>
              <w:t>20.400,00</w:t>
            </w:r>
          </w:p>
        </w:tc>
      </w:tr>
      <w:tr>
        <w:trPr/>
        <w:tc>
          <w:tcPr>
            <w:tcW w:w="84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Ttulo4"/>
              <w:widowControl w:val="false"/>
              <w:numPr>
                <w:ilvl w:val="3"/>
                <w:numId w:val="2"/>
              </w:numPr>
              <w:spacing w:before="40" w:after="0"/>
              <w:ind w:left="0" w:right="72" w:hanging="0"/>
              <w:jc w:val="center"/>
              <w:rPr>
                <w:rFonts w:ascii="Calibri" w:hAnsi="Calibri"/>
                <w:b/>
                <w:b/>
                <w:bCs/>
                <w:i w:val="false"/>
                <w:i w:val="false"/>
                <w:iCs w:val="false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  <w:color w:val="auto"/>
                <w:sz w:val="22"/>
                <w:szCs w:val="22"/>
              </w:rPr>
              <w:t>Valor total da aquisição (R$)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Calibri" w:cs="" w:cstheme="minorBidi" w:eastAsiaTheme="minorHAnsi"/>
                <w:b/>
                <w:bCs/>
                <w:color w:val="auto"/>
                <w:kern w:val="0"/>
                <w:sz w:val="22"/>
                <w:szCs w:val="22"/>
                <w:lang w:val="pt-BR" w:eastAsia="zh-CN" w:bidi="ar-SA"/>
              </w:rPr>
              <w:t>20.400,00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7. Estimativa das Quantidades a serem contratadas</w:t>
      </w:r>
    </w:p>
    <w:p>
      <w:pPr>
        <w:pStyle w:val="Normal"/>
        <w:widowControl/>
        <w:suppressAutoHyphens w:val="true"/>
        <w:bidi w:val="0"/>
        <w:spacing w:lineRule="auto" w:line="264" w:before="0" w:after="0"/>
        <w:ind w:left="0" w:right="0" w:firstLine="567"/>
        <w:jc w:val="both"/>
        <w:rPr>
          <w:rFonts w:ascii="Calibri" w:hAnsi="Calibri"/>
        </w:rPr>
      </w:pPr>
      <w:r>
        <w:rPr>
          <w:rFonts w:eastAsia="Times New Roman" w:cs="Times New Roman"/>
          <w:color w:val="auto"/>
          <w:kern w:val="2"/>
          <w:sz w:val="24"/>
          <w:szCs w:val="24"/>
          <w:lang w:val="pt-BR" w:eastAsia="zh-CN" w:bidi="hi-IN"/>
        </w:rPr>
        <w:t xml:space="preserve"> </w:t>
      </w:r>
      <w:r>
        <w:rPr>
          <w:rFonts w:eastAsia="Calibri" w:cs="Times New Roman"/>
          <w:color w:val="auto"/>
          <w:kern w:val="2"/>
          <w:sz w:val="24"/>
          <w:szCs w:val="24"/>
          <w:lang w:val="pt-BR" w:eastAsia="zh-CN" w:bidi="hi-IN"/>
        </w:rPr>
        <w:t xml:space="preserve">O quantitativo solicitado visa atender </w:t>
      </w:r>
      <w:r>
        <w:rPr>
          <w:rFonts w:eastAsia="Times New Roman" w:cs="Times New Roman"/>
          <w:color w:val="auto"/>
          <w:kern w:val="2"/>
          <w:sz w:val="24"/>
          <w:szCs w:val="24"/>
          <w:lang w:val="pt-BR" w:eastAsia="zh-CN" w:bidi="hi-IN"/>
        </w:rPr>
        <w:t>um período de 36</w:t>
      </w:r>
      <w:r>
        <w:rPr>
          <w:rFonts w:eastAsia="SimSun;宋体" w:cs="Times New Roman"/>
          <w:color w:val="auto"/>
          <w:kern w:val="2"/>
          <w:sz w:val="24"/>
          <w:szCs w:val="24"/>
          <w:lang w:val="pt-BR" w:eastAsia="zh-CN" w:bidi="hi-IN"/>
        </w:rPr>
        <w:t xml:space="preserve"> meses de manutenção d o local em que sera substituído os postes, caso necessário após esse período, devera ser feita uma nova manutenção. </w:t>
      </w:r>
    </w:p>
    <w:p>
      <w:pPr>
        <w:pStyle w:val="Normal"/>
        <w:widowControl/>
        <w:suppressAutoHyphens w:val="true"/>
        <w:bidi w:val="0"/>
        <w:spacing w:lineRule="auto" w:line="264" w:before="0" w:after="0"/>
        <w:ind w:left="0" w:right="0" w:firstLine="567"/>
        <w:jc w:val="both"/>
        <w:rPr>
          <w:rFonts w:ascii="Calibri" w:hAnsi="Calibri" w:eastAsia="Arial" w:cs="Times New Roman"/>
          <w:color w:val="auto"/>
          <w:kern w:val="2"/>
          <w:sz w:val="24"/>
          <w:szCs w:val="24"/>
          <w:lang w:val="pt-BR" w:eastAsia="zh-CN" w:bidi="hi-IN"/>
        </w:rPr>
      </w:pPr>
      <w:r>
        <w:rPr>
          <w:rFonts w:eastAsia="Arial" w:cs="Times New Roman"/>
          <w:color w:val="auto"/>
          <w:kern w:val="2"/>
          <w:sz w:val="24"/>
          <w:szCs w:val="24"/>
          <w:lang w:val="pt-BR" w:eastAsia="zh-CN" w:bidi="hi-IN"/>
        </w:rPr>
        <w:t>Como resultado positivo, podemos destacar a plena aplicação de recursos recebidos do escalão superior, de forma oportuna e possibilitando o cumprimento de todas as missões atribuídas ao CTEx e OM apoiadas.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</w:rPr>
      </w:pPr>
      <w:r>
        <w:rPr>
          <w:rFonts w:cs="LiberationSerif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8. Estimativa do Valor da Contratação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/>
          <w:color w:val="auto"/>
          <w:sz w:val="24"/>
          <w:szCs w:val="24"/>
        </w:rPr>
        <w:t>O menor valor estimado para contratação, tomando por base</w:t>
      </w:r>
      <w:r>
        <w:rPr>
          <w:rFonts w:eastAsia="SimSun;宋体" w:cs="Times New Roman"/>
          <w:color w:val="auto"/>
          <w:kern w:val="2"/>
          <w:sz w:val="24"/>
          <w:szCs w:val="24"/>
          <w:lang w:val="pt-BR" w:eastAsia="zh-CN" w:bidi="hi-IN"/>
        </w:rPr>
        <w:t xml:space="preserve"> as propostas em anexo a esse documento</w:t>
      </w:r>
      <w:r>
        <w:rPr>
          <w:rFonts w:cs="Times New Roman"/>
          <w:color w:val="auto"/>
          <w:sz w:val="24"/>
          <w:szCs w:val="24"/>
        </w:rPr>
        <w:t xml:space="preserve">, é de </w:t>
      </w:r>
      <w:r>
        <w:rPr>
          <w:rFonts w:cs="Times New Roman"/>
          <w:b/>
          <w:bCs/>
          <w:color w:val="auto"/>
          <w:sz w:val="24"/>
          <w:szCs w:val="24"/>
        </w:rPr>
        <w:t>R$</w:t>
      </w:r>
      <w:r>
        <w:rPr>
          <w:rFonts w:eastAsia="SimSun;宋体" w:cs="Times New Roman"/>
          <w:b/>
          <w:bCs/>
          <w:color w:val="auto"/>
          <w:kern w:val="2"/>
          <w:sz w:val="24"/>
          <w:szCs w:val="24"/>
          <w:lang w:val="pt-BR" w:eastAsia="zh-CN" w:bidi="hi-IN"/>
        </w:rPr>
        <w:t xml:space="preserve"> </w:t>
      </w:r>
      <w:r>
        <w:rPr>
          <w:rFonts w:eastAsia="SimSun;宋体" w:cs="Times New Roman"/>
          <w:b/>
          <w:bCs/>
          <w:i/>
          <w:iCs/>
          <w:color w:val="auto"/>
          <w:kern w:val="2"/>
          <w:sz w:val="24"/>
          <w:szCs w:val="24"/>
          <w:lang w:val="pt-BR" w:eastAsia="zh-CN" w:bidi="hi-IN"/>
        </w:rPr>
        <w:t>20.400,00</w:t>
      </w:r>
    </w:p>
    <w:p>
      <w:pPr>
        <w:pStyle w:val="Normal"/>
        <w:spacing w:lineRule="auto" w:line="240" w:before="0" w:after="0"/>
        <w:jc w:val="both"/>
        <w:rPr>
          <w:rFonts w:cs="LiberationSerif-Bold"/>
          <w:color w:val="FF0000"/>
          <w:sz w:val="24"/>
          <w:szCs w:val="24"/>
        </w:rPr>
      </w:pPr>
      <w:r>
        <w:rPr>
          <w:rFonts w:cs="LiberationSerif-Bold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9. Justificativa para o Parcelamento ou não da Solução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/>
          <w:color w:val="FF0000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64" w:before="0" w:after="0"/>
        <w:ind w:left="0" w:right="0" w:firstLine="567"/>
        <w:jc w:val="both"/>
        <w:rPr>
          <w:rFonts w:ascii="Calibri" w:hAnsi="Calibri" w:eastAsia="Calibri" w:cs="Times New Roman"/>
          <w:color w:val="000000"/>
          <w:kern w:val="2"/>
          <w:sz w:val="24"/>
          <w:szCs w:val="24"/>
          <w:lang w:val="pt-BR" w:eastAsia="zh-CN" w:bidi="hi-IN"/>
        </w:rPr>
      </w:pPr>
      <w:r>
        <w:rPr>
          <w:rFonts w:eastAsia="Calibri" w:cs="Times New Roman"/>
          <w:color w:val="000000"/>
          <w:kern w:val="2"/>
          <w:sz w:val="24"/>
          <w:szCs w:val="24"/>
          <w:lang w:val="pt-BR" w:eastAsia="zh-CN" w:bidi="hi-IN"/>
        </w:rPr>
        <w:t xml:space="preserve">A aquisição pretendida será licitada por adesão , visando maior economicidade à Administração , não necessitando de seu parcelamento. 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suppressAutoHyphens w:val="true"/>
        <w:snapToGrid w:val="false"/>
        <w:spacing w:lineRule="atLeast" w:line="200" w:before="0" w:after="113"/>
        <w:jc w:val="both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  <w:lang w:eastAsia="pt-BR"/>
        </w:rPr>
        <w:t>O presente processo visando às aquisições desse</w:t>
      </w:r>
      <w:r>
        <w:rPr>
          <w:rFonts w:eastAsia="Times New Roman" w:cs="Times New Roman"/>
          <w:b w:val="false"/>
          <w:bCs w:val="false"/>
          <w:color w:val="000000"/>
          <w:kern w:val="2"/>
          <w:sz w:val="24"/>
          <w:szCs w:val="24"/>
          <w:lang w:val="pt-BR" w:eastAsia="pt-BR" w:bidi="hi-IN"/>
        </w:rPr>
        <w:t xml:space="preserve"> serviço </w:t>
      </w:r>
      <w:r>
        <w:rPr>
          <w:rFonts w:eastAsia="Times New Roman" w:cs="Times New Roman"/>
          <w:b w:val="false"/>
          <w:bCs w:val="false"/>
          <w:color w:val="000000"/>
          <w:sz w:val="24"/>
          <w:szCs w:val="24"/>
          <w:lang w:eastAsia="pt-BR"/>
        </w:rPr>
        <w:t xml:space="preserve">justifica-se em virtude da necessidade de fornecer ao CTEx </w:t>
      </w:r>
      <w:r>
        <w:rPr>
          <w:rFonts w:eastAsia="Times New Roman" w:cs="Times New Roman"/>
          <w:b w:val="false"/>
          <w:bCs w:val="false"/>
          <w:color w:val="000000"/>
          <w:kern w:val="2"/>
          <w:sz w:val="24"/>
          <w:szCs w:val="24"/>
          <w:lang w:val="pt-BR" w:eastAsia="pt-BR" w:bidi="hi-IN"/>
        </w:rPr>
        <w:t xml:space="preserve">uma </w:t>
      </w:r>
      <w:r>
        <w:rPr>
          <w:rFonts w:eastAsia="Times New Roman" w:cs="Times New Roman"/>
          <w:b w:val="false"/>
          <w:bCs w:val="false"/>
          <w:color w:val="000000"/>
          <w:sz w:val="24"/>
          <w:szCs w:val="24"/>
          <w:lang w:eastAsia="pt-BR"/>
        </w:rPr>
        <w:t xml:space="preserve">manutenção das instalações deste Centro, da AGITEC, do IDQBRN. 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As futuras e eventuais aquisições deverão ser executadas sob demanda, por solicitação de empenho (SE), o que gerará instrumento de contrato ou instrumento equivalente (nota de empenho), não havendo a possibilidade de geração de obrigações futuras para contratante e contratada.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10. Contratações Correlatas e/ou Interdependentes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/>
          <w:color w:val="FF0000"/>
          <w:sz w:val="18"/>
          <w:szCs w:val="18"/>
        </w:rPr>
      </w:r>
    </w:p>
    <w:p>
      <w:pPr>
        <w:pStyle w:val="Normal"/>
        <w:widowControl w:val="false"/>
        <w:tabs>
          <w:tab w:val="clear" w:pos="708"/>
          <w:tab w:val="left" w:pos="822" w:leader="none"/>
        </w:tabs>
        <w:suppressAutoHyphens w:val="false"/>
        <w:overflowPunct w:val="false"/>
        <w:bidi w:val="0"/>
        <w:spacing w:lineRule="auto" w:line="264" w:before="0" w:after="0"/>
        <w:ind w:left="0" w:right="0" w:firstLine="567"/>
        <w:jc w:val="both"/>
        <w:rPr>
          <w:rFonts w:ascii="Calibri" w:hAnsi="Calibri" w:eastAsia="Calibri" w:cs="Times New Roman"/>
          <w:b w:val="false"/>
          <w:b w:val="false"/>
          <w:bCs w:val="false"/>
          <w:color w:val="auto"/>
          <w:kern w:val="2"/>
          <w:sz w:val="24"/>
          <w:szCs w:val="24"/>
          <w:lang w:val="pt-BR" w:eastAsia="zh-CN" w:bidi="hi-IN"/>
        </w:rPr>
      </w:pPr>
      <w:r>
        <w:rPr>
          <w:rFonts w:eastAsia="Calibri" w:cs="LiberationSerif-Bold"/>
          <w:b w:val="false"/>
          <w:bCs w:val="false"/>
          <w:color w:val="auto"/>
          <w:kern w:val="2"/>
          <w:sz w:val="24"/>
          <w:szCs w:val="24"/>
          <w:lang w:val="pt-BR" w:eastAsia="zh-CN" w:bidi="hi-IN"/>
        </w:rPr>
        <w:t>Não verifica-se contratações correlatas nem interdependentes para viabilidade e contratação dessa demanda, sejam elas já realizados ou futuras.</w:t>
      </w:r>
    </w:p>
    <w:p>
      <w:pPr>
        <w:pStyle w:val="Normal"/>
        <w:widowControl w:val="false"/>
        <w:tabs>
          <w:tab w:val="clear" w:pos="708"/>
          <w:tab w:val="left" w:pos="822" w:leader="none"/>
        </w:tabs>
        <w:suppressAutoHyphens w:val="false"/>
        <w:overflowPunct w:val="false"/>
        <w:bidi w:val="0"/>
        <w:spacing w:lineRule="auto" w:line="264" w:before="0" w:after="0"/>
        <w:ind w:left="0" w:right="0" w:firstLine="567"/>
        <w:jc w:val="both"/>
        <w:rPr>
          <w:rFonts w:ascii="Calibri" w:hAnsi="Calibri" w:eastAsia="Calibri" w:cs="Times New Roman"/>
          <w:b w:val="false"/>
          <w:b w:val="false"/>
          <w:bCs w:val="false"/>
          <w:color w:val="auto"/>
          <w:kern w:val="2"/>
          <w:sz w:val="24"/>
          <w:szCs w:val="24"/>
          <w:lang w:val="pt-BR" w:eastAsia="zh-CN" w:bidi="hi-IN"/>
        </w:rPr>
      </w:pPr>
      <w:r>
        <w:rPr>
          <w:rFonts w:eastAsia="Calibri" w:cs="Times New Roman"/>
          <w:b w:val="false"/>
          <w:bCs w:val="false"/>
          <w:color w:val="auto"/>
          <w:kern w:val="2"/>
          <w:sz w:val="24"/>
          <w:szCs w:val="24"/>
          <w:lang w:val="pt-BR" w:eastAsia="zh-CN" w:bidi="hi-IN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/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11. D</w:t>
      </w:r>
      <w:r>
        <w:rPr>
          <w:b/>
          <w:bCs/>
          <w:sz w:val="24"/>
          <w:szCs w:val="24"/>
        </w:rPr>
        <w:t>emonstrativo da previsão da contratação no Plano de Contratações Anual</w:t>
      </w:r>
    </w:p>
    <w:p>
      <w:pPr>
        <w:pStyle w:val="Normal"/>
        <w:spacing w:lineRule="auto" w:line="240" w:before="0" w:after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cs="Times New Roman"/>
          <w:color w:val="auto"/>
          <w:sz w:val="24"/>
          <w:szCs w:val="24"/>
        </w:rPr>
        <w:t>A presente contratação possui dentro da estrutura organizacional d</w:t>
      </w:r>
      <w:r>
        <w:rPr>
          <w:rFonts w:eastAsia="SimSun;宋体" w:cs="Times New Roman"/>
          <w:color w:val="auto"/>
          <w:kern w:val="2"/>
          <w:sz w:val="24"/>
          <w:szCs w:val="24"/>
          <w:lang w:val="pt-BR" w:eastAsia="zh-CN" w:bidi="hi-IN"/>
        </w:rPr>
        <w:t>o CTEX</w:t>
      </w:r>
      <w:r>
        <w:rPr>
          <w:rFonts w:cs="Times New Roman"/>
          <w:color w:val="auto"/>
          <w:sz w:val="24"/>
          <w:szCs w:val="24"/>
        </w:rPr>
        <w:t>, um papel fundamental n</w:t>
      </w:r>
      <w:r>
        <w:rPr>
          <w:rFonts w:eastAsia="SimSun;宋体" w:cs="Times New Roman"/>
          <w:color w:val="auto"/>
          <w:kern w:val="2"/>
          <w:sz w:val="24"/>
          <w:szCs w:val="24"/>
          <w:lang w:val="pt-BR" w:eastAsia="zh-CN" w:bidi="hi-IN"/>
        </w:rPr>
        <w:t xml:space="preserve">a manutenção da vida administrativa e operacional, pois contribuirá para um bom desenvolvimento das missões diárias e do funcionamento dos setores. O grande beneficio , entretanto , advém da utilização do poder de compra , na medida em que ao aproveitar as oportunidades de economia em escala , pode- se obter melhores preços junto ao mercado, reduzindo seus custos em beneficio do atendimento de suas diversificadas demandas. Possibilita também manter em condições o CTEX e participantes em emitir notas de empenho de imediato caso a descentralização de recursos. 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color w:val="auto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/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12. </w:t>
      </w:r>
      <w:r>
        <w:rPr>
          <w:b/>
          <w:bCs/>
          <w:sz w:val="24"/>
          <w:szCs w:val="24"/>
        </w:rPr>
        <w:t>Demonstrativo dos resultados pretendidos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50" w:leader="none"/>
        </w:tabs>
        <w:suppressAutoHyphens w:val="true"/>
        <w:overflowPunct w:val="true"/>
        <w:snapToGrid w:val="false"/>
        <w:spacing w:lineRule="atLeast" w:line="200" w:before="0" w:after="113"/>
        <w:jc w:val="both"/>
        <w:rPr>
          <w:rFonts w:ascii="Calibri" w:hAnsi="Calibri" w:eastAsia="Times New Roman" w:cs="Times New Roman"/>
          <w:b w:val="false"/>
          <w:b w:val="false"/>
          <w:bCs w:val="false"/>
          <w:color w:val="auto"/>
          <w:sz w:val="24"/>
          <w:szCs w:val="24"/>
          <w:lang w:eastAsia="pt-BR"/>
        </w:rPr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eastAsia="pt-BR"/>
        </w:rPr>
        <w:t>A finalidade buscada pela Administração é evitar impactos e evitar compras administrativas defeituosas, assim entendidas aquelas que se inviabilizem ao longo da execução do objeto ou que não assegurem o aproveitamento mais eficiente dos recursos públicos à medida que promove uma licitação satisfatória, reduzindo o risco de conflitos, impugnações e atrasos.</w:t>
      </w:r>
    </w:p>
    <w:p>
      <w:pPr>
        <w:pStyle w:val="Normal"/>
        <w:bidi w:val="0"/>
        <w:rPr>
          <w:rFonts w:ascii="Calibri" w:hAnsi="Calibri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/>
          <w:b w:val="false"/>
          <w:bCs w:val="false"/>
          <w:color w:val="auto"/>
          <w:sz w:val="24"/>
          <w:szCs w:val="24"/>
        </w:rPr>
        <w:t>Em decorrência dos princípios da economicidade e da eficiência, foi realizado o adequado planejamento, escorado em estudos e pesquisas, a fim de obter propostas efetivamente vantajosas, evidenciando, enfim, a melhor utilização dos recursos que lhe são disponibilizados.</w:t>
      </w:r>
    </w:p>
    <w:p>
      <w:pPr>
        <w:pStyle w:val="Normal"/>
        <w:tabs>
          <w:tab w:val="clear" w:pos="708"/>
          <w:tab w:val="left" w:pos="450" w:leader="none"/>
        </w:tabs>
        <w:suppressAutoHyphens w:val="true"/>
        <w:overflowPunct w:val="true"/>
        <w:snapToGrid w:val="false"/>
        <w:spacing w:lineRule="atLeast" w:line="200" w:before="0" w:after="113"/>
        <w:jc w:val="both"/>
        <w:rPr>
          <w:rFonts w:ascii="Calibri" w:hAnsi="Calibri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eastAsia="pt-BR"/>
        </w:rPr>
        <w:t>Espera-se com esta contratação no mínimo os seguintes efeitos:</w:t>
      </w:r>
    </w:p>
    <w:p>
      <w:pPr>
        <w:pStyle w:val="Normal"/>
        <w:tabs>
          <w:tab w:val="clear" w:pos="708"/>
          <w:tab w:val="left" w:pos="450" w:leader="none"/>
        </w:tabs>
        <w:suppressAutoHyphens w:val="true"/>
        <w:overflowPunct w:val="true"/>
        <w:snapToGrid w:val="false"/>
        <w:spacing w:lineRule="atLeast" w:line="200" w:before="0" w:after="113"/>
        <w:jc w:val="both"/>
        <w:rPr>
          <w:rFonts w:ascii="Calibri" w:hAnsi="Calibri" w:eastAsia="Times New Roman" w:cs="Times New Roman"/>
          <w:b w:val="false"/>
          <w:b w:val="false"/>
          <w:bCs w:val="false"/>
          <w:color w:val="auto"/>
          <w:sz w:val="24"/>
          <w:szCs w:val="24"/>
          <w:lang w:eastAsia="pt-BR"/>
        </w:rPr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eastAsia="pt-BR"/>
        </w:rPr>
        <w:t>- Otimização de custos administrativos;</w:t>
      </w:r>
    </w:p>
    <w:p>
      <w:pPr>
        <w:pStyle w:val="Normal"/>
        <w:tabs>
          <w:tab w:val="clear" w:pos="708"/>
          <w:tab w:val="left" w:pos="450" w:leader="none"/>
        </w:tabs>
        <w:suppressAutoHyphens w:val="true"/>
        <w:overflowPunct w:val="true"/>
        <w:snapToGrid w:val="false"/>
        <w:spacing w:lineRule="atLeast" w:line="200" w:before="0" w:after="113"/>
        <w:jc w:val="both"/>
        <w:rPr>
          <w:rFonts w:ascii="Calibri" w:hAnsi="Calibri" w:eastAsia="Times New Roman" w:cs="Times New Roman"/>
          <w:b w:val="false"/>
          <w:b w:val="false"/>
          <w:bCs w:val="false"/>
          <w:color w:val="auto"/>
          <w:sz w:val="24"/>
          <w:szCs w:val="24"/>
          <w:lang w:eastAsia="pt-BR"/>
        </w:rPr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eastAsia="pt-BR"/>
        </w:rPr>
        <w:t>- Atendimento a todos os preceitos legais vigentes;</w:t>
      </w:r>
    </w:p>
    <w:p>
      <w:pPr>
        <w:pStyle w:val="Normal"/>
        <w:tabs>
          <w:tab w:val="clear" w:pos="708"/>
          <w:tab w:val="left" w:pos="450" w:leader="none"/>
        </w:tabs>
        <w:suppressAutoHyphens w:val="true"/>
        <w:overflowPunct w:val="true"/>
        <w:snapToGrid w:val="false"/>
        <w:spacing w:lineRule="atLeast" w:line="200" w:before="0" w:after="113"/>
        <w:jc w:val="both"/>
        <w:rPr>
          <w:rFonts w:ascii="Calibri" w:hAnsi="Calibri" w:eastAsia="Times New Roman" w:cs="Times New Roman"/>
          <w:b w:val="false"/>
          <w:b w:val="false"/>
          <w:bCs w:val="false"/>
          <w:color w:val="auto"/>
          <w:sz w:val="24"/>
          <w:szCs w:val="24"/>
          <w:lang w:eastAsia="pt-BR"/>
        </w:rPr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eastAsia="pt-BR"/>
        </w:rPr>
        <w:t>- Mitigar chances de inadimplemento contratual por parte da empresa que posa gerar desgaste ou custo para esta instituição;</w:t>
      </w:r>
    </w:p>
    <w:p>
      <w:pPr>
        <w:pStyle w:val="Normal"/>
        <w:tabs>
          <w:tab w:val="clear" w:pos="708"/>
          <w:tab w:val="left" w:pos="450" w:leader="none"/>
        </w:tabs>
        <w:suppressAutoHyphens w:val="true"/>
        <w:overflowPunct w:val="true"/>
        <w:snapToGrid w:val="false"/>
        <w:spacing w:lineRule="atLeast" w:line="200" w:before="0" w:after="113"/>
        <w:jc w:val="both"/>
        <w:rPr>
          <w:rFonts w:ascii="Calibri" w:hAnsi="Calibri" w:eastAsia="Times New Roman" w:cs="Times New Roman"/>
          <w:b w:val="false"/>
          <w:b w:val="false"/>
          <w:bCs w:val="false"/>
          <w:color w:val="auto"/>
          <w:kern w:val="2"/>
          <w:sz w:val="24"/>
          <w:szCs w:val="24"/>
          <w:lang w:val="pt-BR" w:eastAsia="pt-BR" w:bidi="hi-IN"/>
        </w:rPr>
      </w:pPr>
      <w:r>
        <w:rPr>
          <w:rFonts w:eastAsia="Times New Roman" w:cs="Times New Roman"/>
          <w:b w:val="false"/>
          <w:bCs w:val="false"/>
          <w:color w:val="auto"/>
          <w:kern w:val="2"/>
          <w:sz w:val="24"/>
          <w:szCs w:val="24"/>
          <w:lang w:val="pt-BR" w:eastAsia="pt-BR" w:bidi="hi-IN"/>
        </w:rPr>
        <w:t>- Garantia a boa execução dos serviços de apoio administrativo e operacional, sempre embasados nos principios de eficiência e sustentabilidade;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13. P</w:t>
      </w:r>
      <w:r>
        <w:rPr>
          <w:b/>
          <w:bCs/>
          <w:sz w:val="24"/>
          <w:szCs w:val="24"/>
        </w:rPr>
        <w:t>rovidências a serem adotadas pela Administração previamente à celebração do contrato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libri" w:hAnsi="Calibri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/>
          <w:b w:val="false"/>
          <w:bCs w:val="false"/>
          <w:i w:val="false"/>
          <w:iCs w:val="false"/>
          <w:color w:val="auto"/>
          <w:sz w:val="24"/>
          <w:szCs w:val="24"/>
        </w:rPr>
        <w:t xml:space="preserve">Deve-se ter como providências adotadas : </w:t>
      </w:r>
    </w:p>
    <w:p>
      <w:pPr>
        <w:pStyle w:val="Normal"/>
        <w:jc w:val="both"/>
        <w:rPr>
          <w:rFonts w:ascii="Calibri" w:hAnsi="Calibri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/>
          <w:b w:val="false"/>
          <w:bCs w:val="false"/>
          <w:i w:val="false"/>
          <w:iCs w:val="false"/>
          <w:color w:val="auto"/>
          <w:sz w:val="24"/>
          <w:szCs w:val="24"/>
        </w:rPr>
        <w:t xml:space="preserve">- Boa logística </w:t>
      </w:r>
      <w:r>
        <w:rPr>
          <w:rFonts w:eastAsia="Calibri" w:cs="Times New Roman" w:eastAsiaTheme="minorHAnsi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en-US" w:bidi="ar-SA"/>
        </w:rPr>
        <w:t>entrega dos materiais</w:t>
      </w:r>
    </w:p>
    <w:p>
      <w:pPr>
        <w:pStyle w:val="Normal"/>
        <w:jc w:val="both"/>
        <w:rPr>
          <w:rFonts w:ascii="Calibri" w:hAnsi="Calibri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/>
          <w:b w:val="false"/>
          <w:bCs w:val="false"/>
          <w:i w:val="false"/>
          <w:iCs w:val="false"/>
          <w:color w:val="auto"/>
          <w:sz w:val="24"/>
          <w:szCs w:val="24"/>
        </w:rPr>
        <w:t>-  C</w:t>
      </w:r>
      <w:r>
        <w:rPr>
          <w:rFonts w:eastAsia="Calibri" w:cs="Times New Roman" w:eastAsiaTheme="minorHAnsi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en-US" w:bidi="ar-SA"/>
        </w:rPr>
        <w:t>adastro da empresa escolhida para entrega dos materiais;</w:t>
      </w:r>
    </w:p>
    <w:p>
      <w:pPr>
        <w:pStyle w:val="Normal"/>
        <w:jc w:val="both"/>
        <w:rPr>
          <w:rFonts w:ascii="Calibri" w:hAnsi="Calibri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/>
          <w:b w:val="false"/>
          <w:bCs w:val="false"/>
          <w:i w:val="false"/>
          <w:iCs w:val="false"/>
          <w:color w:val="auto"/>
          <w:sz w:val="24"/>
          <w:szCs w:val="24"/>
        </w:rPr>
        <w:t xml:space="preserve">- Logística de recebimento </w:t>
      </w:r>
      <w:r>
        <w:rPr>
          <w:rFonts w:eastAsia="Calibri" w:cs="Times New Roman" w:eastAsiaTheme="minorHAnsi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en-US" w:bidi="ar-SA"/>
        </w:rPr>
        <w:t>do material,  com um espaço adequado para armazenamento</w:t>
      </w:r>
    </w:p>
    <w:p>
      <w:pPr>
        <w:pStyle w:val="Normal"/>
        <w:jc w:val="both"/>
        <w:rPr>
          <w:rFonts w:ascii="Calibri" w:hAnsi="Calibri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/>
          <w:b w:val="false"/>
          <w:bCs w:val="false"/>
          <w:i w:val="false"/>
          <w:iCs w:val="false"/>
          <w:color w:val="auto"/>
          <w:sz w:val="24"/>
          <w:szCs w:val="24"/>
        </w:rPr>
        <w:t>- Recurso orçamentário;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Calibri" w:hAnsi="Calibri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cs="LiberationSerif-Bold"/>
          <w:b w:val="false"/>
          <w:bCs w:val="false"/>
          <w:i w:val="false"/>
          <w:iCs w:val="false"/>
          <w:color w:val="000000"/>
          <w:sz w:val="24"/>
          <w:szCs w:val="24"/>
        </w:rPr>
        <w:t>O recebimento do material</w:t>
      </w:r>
      <w:r>
        <w:rPr>
          <w:rFonts w:eastAsia="Calibri" w:cs="LiberationSerif-Bold"/>
          <w:b w:val="false"/>
          <w:bCs w:val="false"/>
          <w:i w:val="false"/>
          <w:iCs w:val="false"/>
          <w:color w:val="000000"/>
          <w:kern w:val="0"/>
          <w:sz w:val="24"/>
          <w:szCs w:val="24"/>
          <w:lang w:val="pt-BR" w:eastAsia="en-US" w:bidi="ar-SA"/>
        </w:rPr>
        <w:t xml:space="preserve"> </w:t>
      </w:r>
      <w:r>
        <w:rPr>
          <w:rFonts w:cs="LiberationSerif-Bold"/>
          <w:b w:val="false"/>
          <w:bCs w:val="false"/>
          <w:i w:val="false"/>
          <w:iCs w:val="false"/>
          <w:color w:val="000000"/>
          <w:sz w:val="24"/>
          <w:szCs w:val="24"/>
        </w:rPr>
        <w:t xml:space="preserve">será de responsabilidade da Seção solicitante. Anualmente a seção recebe </w:t>
      </w:r>
      <w:r>
        <w:rPr>
          <w:rFonts w:eastAsia="Calibri" w:cs="LiberationSerif-Bold"/>
          <w:b w:val="false"/>
          <w:bCs w:val="false"/>
          <w:i w:val="false"/>
          <w:iCs w:val="false"/>
          <w:color w:val="000000"/>
          <w:kern w:val="0"/>
          <w:sz w:val="24"/>
          <w:szCs w:val="24"/>
          <w:lang w:val="pt-BR" w:eastAsia="en-US" w:bidi="ar-SA"/>
        </w:rPr>
        <w:t>empresas</w:t>
      </w:r>
      <w:r>
        <w:rPr>
          <w:rFonts w:cs="LiberationSerif-Bold"/>
          <w:b w:val="false"/>
          <w:bCs w:val="false"/>
          <w:i w:val="false"/>
          <w:iCs w:val="false"/>
          <w:color w:val="000000"/>
          <w:sz w:val="24"/>
          <w:szCs w:val="24"/>
        </w:rPr>
        <w:t xml:space="preserve"> e possui pessoal instruído para recebimento e instalação </w:t>
      </w:r>
      <w:r>
        <w:rPr>
          <w:rFonts w:eastAsia="Calibri" w:cs="LiberationSerif-Bold"/>
          <w:b w:val="false"/>
          <w:bCs w:val="false"/>
          <w:i w:val="false"/>
          <w:iCs w:val="false"/>
          <w:color w:val="000000"/>
          <w:kern w:val="0"/>
          <w:sz w:val="24"/>
          <w:szCs w:val="24"/>
          <w:lang w:val="pt-BR" w:eastAsia="en-US" w:bidi="ar-SA"/>
        </w:rPr>
        <w:t>dos mesmos</w:t>
      </w:r>
      <w:r>
        <w:rPr>
          <w:rFonts w:cs="LiberationSerif-Bold"/>
          <w:b w:val="false"/>
          <w:bCs w:val="false"/>
          <w:i w:val="false"/>
          <w:iCs w:val="false"/>
          <w:color w:val="000000"/>
          <w:sz w:val="24"/>
          <w:szCs w:val="24"/>
        </w:rPr>
        <w:t>. Com relação a fiscalização, destaca-se que os servidores da seção estão plenamente capacitados para agir e intervir de acordo com a legislação vigente.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Calibri" w:hAnsi="Calibri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/>
          <w:b w:val="false"/>
          <w:bCs w:val="false"/>
          <w:i w:val="false"/>
          <w:iCs w:val="false"/>
          <w:color w:val="auto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14. Possíveis Impactos Ambientais </w:t>
      </w:r>
      <w:r>
        <w:rPr>
          <w:b/>
          <w:bCs/>
          <w:sz w:val="24"/>
          <w:szCs w:val="24"/>
        </w:rPr>
        <w:t>e respectivas medidas mitigadoras</w:t>
      </w:r>
    </w:p>
    <w:p>
      <w:pPr>
        <w:pStyle w:val="Normal"/>
        <w:spacing w:lineRule="auto" w:line="240" w:before="0" w:after="0"/>
        <w:jc w:val="both"/>
        <w:rPr>
          <w:b w:val="false"/>
          <w:b w:val="false"/>
          <w:bCs w:val="false"/>
          <w:color w:val="auto"/>
          <w:sz w:val="24"/>
          <w:szCs w:val="24"/>
        </w:rPr>
      </w:pPr>
      <w:r>
        <w:rPr>
          <w:b w:val="false"/>
          <w:bCs w:val="false"/>
          <w:color w:val="auto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LiberationSerif-Bold"/>
          <w:b w:val="false"/>
          <w:b w:val="false"/>
          <w:bCs w:val="false"/>
          <w:color w:val="auto"/>
          <w:sz w:val="24"/>
          <w:szCs w:val="24"/>
        </w:rPr>
      </w:pPr>
      <w:r>
        <w:rPr>
          <w:rFonts w:cs="Calibri"/>
          <w:b w:val="false"/>
          <w:bCs w:val="false"/>
          <w:color w:val="auto"/>
          <w:sz w:val="24"/>
          <w:szCs w:val="24"/>
        </w:rPr>
        <w:t xml:space="preserve">A </w:t>
      </w:r>
      <w:r>
        <w:rPr>
          <w:rFonts w:cs="Times New Roman"/>
          <w:b w:val="false"/>
          <w:bCs w:val="false"/>
          <w:color w:val="auto"/>
          <w:sz w:val="24"/>
          <w:szCs w:val="24"/>
        </w:rPr>
        <w:t xml:space="preserve">licitante vencedora deverá observar os critérios de sustentabilidade ambiental, visando mitigar possíveis impactos ambientais, se for o caso, durante os processos de extração/fabricação, transporte, descarte dos produtos e matérias-primas, conforme a instrução normativa SLTI/MP no 01/2010. Os impactos ambientais gerados pelos materiais utilizados na construção civil são inevitáveis, porém, o setor pode atuar como um agente transformador quando segue políticas para redução de mudanças prejudiciais ao meio ambiente. 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15. Declaração de Viabilidade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" wp14:anchorId="04ED1A92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380365" cy="354965"/>
                <wp:effectExtent l="0" t="0" r="23495" b="10795"/>
                <wp:wrapNone/>
                <wp:docPr id="2" name="Retângulo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800" cy="35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X        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ângulo 2" path="m0,0l-2147483645,0l-2147483645,-2147483646l0,-2147483646xe" fillcolor="white" stroked="t" style="position:absolute;margin-left:0pt;margin-top:0.5pt;width:29.85pt;height:27.85pt;mso-wrap-style:square;v-text-anchor:middle;mso-position-horizontal:left;mso-position-horizontal-relative:margin" wp14:anchorId="04ED1A92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spacing w:before="0" w:after="16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X       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viável</w:t>
      </w:r>
      <w:r>
        <w:rPr>
          <w:sz w:val="24"/>
          <w:szCs w:val="24"/>
        </w:rPr>
        <w:t xml:space="preserve"> esta contratação com base neste Estudo Técnico Preliminar.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8" wp14:anchorId="7E52F4ED">
                <wp:simplePos x="0" y="0"/>
                <wp:positionH relativeFrom="column">
                  <wp:posOffset>9525</wp:posOffset>
                </wp:positionH>
                <wp:positionV relativeFrom="paragraph">
                  <wp:posOffset>52070</wp:posOffset>
                </wp:positionV>
                <wp:extent cx="372110" cy="337185"/>
                <wp:effectExtent l="0" t="0" r="12700" b="27940"/>
                <wp:wrapNone/>
                <wp:docPr id="4" name="Retângulo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520" cy="3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3" path="m0,0l-2147483645,0l-2147483645,-2147483646l0,-2147483646xe" fillcolor="white" stroked="t" style="position:absolute;margin-left:0.75pt;margin-top:4.1pt;width:29.2pt;height:26.45pt;mso-wrap-style:none;v-text-anchor:middle" wp14:anchorId="7E52F4ED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viável com restrições</w:t>
      </w:r>
      <w:r>
        <w:rPr>
          <w:sz w:val="24"/>
          <w:szCs w:val="24"/>
        </w:rPr>
        <w:t xml:space="preserve"> esta contratação com base neste Estudo Técnico Preliminar.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6" wp14:anchorId="28272AE3">
                <wp:simplePos x="0" y="0"/>
                <wp:positionH relativeFrom="column">
                  <wp:posOffset>9525</wp:posOffset>
                </wp:positionH>
                <wp:positionV relativeFrom="paragraph">
                  <wp:posOffset>59690</wp:posOffset>
                </wp:positionV>
                <wp:extent cx="371475" cy="372745"/>
                <wp:effectExtent l="0" t="0" r="12700" b="12065"/>
                <wp:wrapNone/>
                <wp:docPr id="5" name="Retângulo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800" cy="37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4" path="m0,0l-2147483645,0l-2147483645,-2147483646l0,-2147483646xe" fillcolor="white" stroked="t" style="position:absolute;margin-left:0.75pt;margin-top:4.7pt;width:29.15pt;height:29.25pt;mso-wrap-style:none;v-text-anchor:middle" wp14:anchorId="28272AE3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inviável</w:t>
      </w:r>
      <w:r>
        <w:rPr>
          <w:sz w:val="24"/>
          <w:szCs w:val="24"/>
        </w:rPr>
        <w:t xml:space="preserve"> esta contratação com base neste Estudo Técnico Preliminar.</w:t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15.1. Justificativa da Viabilidade</w:t>
      </w:r>
    </w:p>
    <w:p>
      <w:pPr>
        <w:pStyle w:val="Normal"/>
        <w:spacing w:lineRule="auto" w:line="240" w:before="0" w:after="0"/>
        <w:ind w:left="851" w:hanging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FF0000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eastAsia="pt-BR" w:bidi="ar-SA"/>
        </w:rPr>
        <w:t>A contratação é viável e já foi realizada anteriormente pelo por intermédio de processo licitatório e atendeu plenamente às necessidades da Administração . O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s itens deste processo podem ser comparados a contratações similares no município (RJ) e na região sudeste, o que sinaliza suficientemente a possibilidade de atendimento total da demanda pelo mercado.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16. Do Acesso às informações contidas no presente Estudo Técnico Preliminar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Nos termos da Lei nº 12.527, de 18 de novembro de 2011, esta Equipe de Planejamento entende que:</w:t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5" wp14:anchorId="63B46E2B">
                <wp:simplePos x="0" y="0"/>
                <wp:positionH relativeFrom="column">
                  <wp:posOffset>-43180</wp:posOffset>
                </wp:positionH>
                <wp:positionV relativeFrom="paragraph">
                  <wp:posOffset>26035</wp:posOffset>
                </wp:positionV>
                <wp:extent cx="434340" cy="363220"/>
                <wp:effectExtent l="0" t="0" r="26670" b="20955"/>
                <wp:wrapNone/>
                <wp:docPr id="6" name="Retângulo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800" cy="36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overflowPunct w:val="false"/>
                              <w:spacing w:lineRule="auto" w:line="240" w:before="0" w:after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36"/>
                              </w:rPr>
                              <w:t>X</w:t>
                            </w:r>
                          </w:p>
                        </w:txbxContent>
                      </wps:txbx>
                      <wps:bodyPr lIns="90000" rIns="90000" tIns="45000" bIns="450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ângulo 5" path="m0,0l-2147483645,0l-2147483645,-2147483646l0,-2147483646xe" fillcolor="white" stroked="t" style="position:absolute;margin-left:-3.4pt;margin-top:2.05pt;width:34.1pt;height:28.5pt;mso-wrap-style:square;v-text-anchor:top" wp14:anchorId="63B46E2B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overflowPunct w:val="false"/>
                        <w:spacing w:lineRule="auto" w:line="240" w:before="0" w:after="0"/>
                        <w:jc w:val="lef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z w:val="36"/>
                        </w:rPr>
                        <w:t xml:space="preserve"> </w:t>
                      </w:r>
                      <w:r>
                        <w:rPr>
                          <w:color w:val="000000"/>
                          <w:sz w:val="36"/>
                        </w:rPr>
                        <w:t>X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As informações contidas nos presentes Estudos Preliminares </w:t>
      </w:r>
      <w:r>
        <w:rPr>
          <w:b/>
          <w:bCs/>
          <w:sz w:val="24"/>
          <w:szCs w:val="24"/>
        </w:rPr>
        <w:t>DEVERÃO ESTAR DISPONÍVEIS</w:t>
      </w:r>
      <w:r>
        <w:rPr>
          <w:sz w:val="24"/>
          <w:szCs w:val="24"/>
        </w:rPr>
        <w:t xml:space="preserve"> para qualquer interessado, pois não se caracterizam como sigilosas.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4" wp14:anchorId="3DDD9F02">
                <wp:simplePos x="0" y="0"/>
                <wp:positionH relativeFrom="margin">
                  <wp:posOffset>-34290</wp:posOffset>
                </wp:positionH>
                <wp:positionV relativeFrom="paragraph">
                  <wp:posOffset>93345</wp:posOffset>
                </wp:positionV>
                <wp:extent cx="415290" cy="337185"/>
                <wp:effectExtent l="0" t="0" r="26035" b="27940"/>
                <wp:wrapNone/>
                <wp:docPr id="8" name="Retângulo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20" cy="3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6" path="m0,0l-2147483645,0l-2147483645,-2147483646l0,-2147483646xe" fillcolor="white" stroked="t" style="position:absolute;margin-left:-2.7pt;margin-top:7.35pt;width:32.6pt;height:26.45pt;mso-wrap-style:none;v-text-anchor:middle;mso-position-horizontal-relative:margin" wp14:anchorId="3DDD9F02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As informações contidas nos presentes Estudos Preliminares </w:t>
      </w:r>
      <w:r>
        <w:rPr>
          <w:b/>
          <w:bCs/>
          <w:sz w:val="24"/>
          <w:szCs w:val="24"/>
        </w:rPr>
        <w:t>ASSUMEM CARÁTER SIGILOSO</w:t>
      </w:r>
      <w:r>
        <w:rPr>
          <w:sz w:val="24"/>
          <w:szCs w:val="24"/>
        </w:rPr>
        <w:t>, nos termos do Art. 23 da Lei nº 12.527/2011, e, portanto, deverão ter acesso restrito.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16. </w:t>
      </w:r>
      <w:r>
        <w:rPr>
          <w:b/>
          <w:bCs/>
          <w:color w:val="000000"/>
          <w:sz w:val="24"/>
          <w:szCs w:val="24"/>
        </w:rPr>
        <w:t>Responsabilidade da Equipe de Planejamento pela Elaboração e Conteúdo do Documento</w:t>
      </w:r>
    </w:p>
    <w:p>
      <w:pPr>
        <w:pStyle w:val="Normal"/>
        <w:spacing w:lineRule="auto" w:line="240" w:before="0" w:after="0"/>
        <w:jc w:val="both"/>
        <w:rPr>
          <w:b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Certificamos que somos responsáveis pela elaboração do presente documento.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Rio de Janeiro, RJ, ____ de ________________ de _____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Integrantes da Equipe de Planejamento da Contratação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tedodatabela"/>
        <w:jc w:val="center"/>
        <w:rPr>
          <w:rFonts w:ascii="Calibri" w:hAnsi="Calibri" w:cs="Open Sans" w:asciiTheme="minorHAnsi" w:hAnsiTheme="minorHAnsi"/>
        </w:rPr>
      </w:pPr>
      <w:r>
        <w:rPr>
          <w:rFonts w:cs="Open Sans" w:ascii="Calibri" w:hAnsi="Calibri" w:asciiTheme="minorHAnsi" w:hAnsiTheme="minorHAnsi"/>
        </w:rPr>
        <w:t>________________________________</w:t>
      </w:r>
    </w:p>
    <w:p>
      <w:pPr>
        <w:pStyle w:val="Western"/>
        <w:spacing w:before="0" w:after="0"/>
        <w:jc w:val="center"/>
        <w:rPr/>
      </w:pPr>
      <w:r>
        <w:rPr>
          <w:rStyle w:val="Fontepargpadro"/>
          <w:rFonts w:eastAsia="Times New Roman" w:cs="Arial" w:ascii="Arial" w:hAnsi="Arial"/>
          <w:b w:val="false"/>
          <w:bCs w:val="false"/>
          <w:color w:val="auto"/>
          <w:kern w:val="0"/>
          <w:sz w:val="22"/>
          <w:szCs w:val="22"/>
          <w:lang w:val="pt-BR" w:eastAsia="pt-BR" w:bidi="ar-SA"/>
        </w:rPr>
        <w:t>Vanderson dos Santos Oliveira  –  1° Ten</w:t>
      </w:r>
    </w:p>
    <w:p>
      <w:pPr>
        <w:pStyle w:val="Western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rStyle w:val="Fontepargpadro"/>
          <w:rFonts w:eastAsia="Times New Roman" w:cs="Arial" w:ascii="Arial" w:hAnsi="Arial"/>
          <w:b w:val="false"/>
          <w:bCs w:val="false"/>
          <w:color w:val="000000"/>
          <w:kern w:val="0"/>
          <w:sz w:val="22"/>
          <w:szCs w:val="22"/>
          <w:lang w:val="pt-BR" w:eastAsia="pt-BR" w:bidi="ar-SA"/>
        </w:rPr>
        <w:t>Chefe da PMG</w:t>
      </w:r>
    </w:p>
    <w:p>
      <w:pPr>
        <w:pStyle w:val="Corpodotextorecuado"/>
        <w:tabs>
          <w:tab w:val="clear" w:pos="708"/>
          <w:tab w:val="left" w:pos="709" w:leader="none"/>
        </w:tabs>
        <w:ind w:left="0" w:right="0" w:hanging="0"/>
        <w:jc w:val="center"/>
        <w:rPr>
          <w:rFonts w:ascii="Calibri" w:hAnsi="Calibri" w:eastAsia="SimSun" w:cs="Open Sans" w:asciiTheme="minorHAnsi" w:hAnsiTheme="minorHAnsi"/>
          <w:color w:val="auto"/>
          <w:kern w:val="2"/>
          <w:sz w:val="24"/>
          <w:szCs w:val="24"/>
          <w:lang w:val="pt-BR" w:eastAsia="zh-CN" w:bidi="hi-IN"/>
        </w:rPr>
      </w:pPr>
      <w:r>
        <w:rPr>
          <w:rFonts w:eastAsia="SimSun" w:cs="Open Sans"/>
          <w:color w:val="auto"/>
          <w:kern w:val="2"/>
          <w:sz w:val="24"/>
          <w:szCs w:val="24"/>
          <w:lang w:val="pt-BR" w:eastAsia="zh-CN" w:bidi="hi-IN"/>
        </w:rPr>
      </w:r>
    </w:p>
    <w:p>
      <w:pPr>
        <w:pStyle w:val="Normal"/>
        <w:spacing w:lineRule="auto" w:line="240" w:before="0" w:after="0"/>
        <w:jc w:val="center"/>
        <w:rPr>
          <w:rFonts w:cs="LiberationSerif-Bold"/>
          <w:color w:val="000000"/>
          <w:sz w:val="24"/>
          <w:szCs w:val="24"/>
        </w:rPr>
      </w:pPr>
      <w:r>
        <w:rPr>
          <w:rFonts w:cs="LiberationSerif-Bold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LiberationSerif-Bold"/>
          <w:color w:val="000000"/>
          <w:sz w:val="24"/>
          <w:szCs w:val="24"/>
        </w:rPr>
      </w:pPr>
      <w:r>
        <w:rPr>
          <w:rFonts w:cs="LiberationSerif-Bold"/>
          <w:color w:val="000000"/>
          <w:sz w:val="24"/>
          <w:szCs w:val="24"/>
        </w:rPr>
      </w:r>
    </w:p>
    <w:p>
      <w:pPr>
        <w:pStyle w:val="Contedodatabela"/>
        <w:jc w:val="center"/>
        <w:rPr>
          <w:rFonts w:ascii="Times New Roman" w:hAnsi="Times New Roman" w:cs="Times New Roman"/>
          <w:b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_______________________________</w:t>
      </w:r>
    </w:p>
    <w:p>
      <w:pPr>
        <w:pStyle w:val="Contedodatabela"/>
        <w:jc w:val="center"/>
        <w:rPr/>
      </w:pPr>
      <w:r>
        <w:rPr>
          <w:rFonts w:eastAsia="SimSun;宋体" w:cs="Times New Roman" w:ascii="Times New Roman" w:hAnsi="Times New Roman"/>
          <w:b w:val="false"/>
          <w:bCs w:val="false"/>
          <w:color w:val="auto"/>
          <w:kern w:val="2"/>
          <w:sz w:val="18"/>
          <w:szCs w:val="18"/>
          <w:lang w:val="pt-BR" w:eastAsia="zh-CN" w:bidi="hi-IN"/>
        </w:rPr>
        <w:t xml:space="preserve">THAIS </w:t>
      </w:r>
      <w:r>
        <w:rPr>
          <w:rFonts w:eastAsia="SimSun;宋体" w:cs="Times New Roman" w:ascii="Times New Roman" w:hAnsi="Times New Roman"/>
          <w:b/>
          <w:bCs/>
          <w:color w:val="auto"/>
          <w:kern w:val="2"/>
          <w:sz w:val="18"/>
          <w:szCs w:val="18"/>
          <w:lang w:val="pt-BR" w:eastAsia="zh-CN" w:bidi="hi-IN"/>
        </w:rPr>
        <w:t>MOORE</w:t>
      </w:r>
      <w:r>
        <w:rPr>
          <w:rFonts w:eastAsia="SimSun;宋体" w:cs="Times New Roman" w:ascii="Times New Roman" w:hAnsi="Times New Roman"/>
          <w:b w:val="false"/>
          <w:bCs w:val="false"/>
          <w:color w:val="auto"/>
          <w:kern w:val="2"/>
          <w:sz w:val="18"/>
          <w:szCs w:val="18"/>
          <w:lang w:val="pt-BR" w:eastAsia="zh-CN" w:bidi="hi-IN"/>
        </w:rPr>
        <w:t xml:space="preserve"> B. P. COSTA – 3º SGT</w:t>
      </w:r>
    </w:p>
    <w:p>
      <w:pPr>
        <w:pStyle w:val="Contedodatabela"/>
        <w:snapToGrid w:val="false"/>
        <w:jc w:val="center"/>
        <w:rPr>
          <w:rFonts w:ascii="Calibri" w:hAnsi="Calibri" w:cs="Open Sans" w:asciiTheme="minorHAnsi" w:hAnsiTheme="minorHAnsi"/>
        </w:rPr>
      </w:pPr>
      <w:r>
        <w:rPr>
          <w:rFonts w:eastAsia="SimSun;宋体" w:cs="Open Sans" w:ascii="Calibri" w:hAnsi="Calibri" w:asciiTheme="minorHAnsi" w:hAnsiTheme="minorHAnsi"/>
          <w:b w:val="false"/>
          <w:bCs w:val="false"/>
          <w:color w:val="auto"/>
          <w:kern w:val="2"/>
          <w:sz w:val="18"/>
          <w:szCs w:val="18"/>
          <w:lang w:val="pt-BR" w:eastAsia="zh-CN" w:bidi="hi-IN"/>
        </w:rPr>
        <w:t>AUXILIAR PMG</w:t>
      </w:r>
    </w:p>
    <w:p>
      <w:pPr>
        <w:pStyle w:val="Contedodatabela"/>
        <w:snapToGrid w:val="false"/>
        <w:jc w:val="center"/>
        <w:rPr>
          <w:rFonts w:ascii="Calibri" w:hAnsi="Calibri" w:cs="Open Sans" w:asciiTheme="minorHAnsi" w:hAnsiTheme="minorHAnsi"/>
        </w:rPr>
      </w:pPr>
      <w:r>
        <w:rPr>
          <w:rFonts w:cs="Open Sans" w:ascii="Calibri" w:hAnsi="Calibri"/>
        </w:rPr>
      </w:r>
    </w:p>
    <w:p>
      <w:pPr>
        <w:pStyle w:val="Contedodatabela"/>
        <w:snapToGrid w:val="false"/>
        <w:jc w:val="center"/>
        <w:rPr>
          <w:rFonts w:ascii="Calibri" w:hAnsi="Calibri" w:cs="Open Sans" w:asciiTheme="minorHAnsi" w:hAnsiTheme="minorHAnsi"/>
        </w:rPr>
      </w:pPr>
      <w:r>
        <w:rPr>
          <w:rFonts w:cs="Open Sans" w:ascii="Calibri" w:hAnsi="Calibri"/>
        </w:rPr>
      </w:r>
    </w:p>
    <w:p>
      <w:pPr>
        <w:pStyle w:val="Contedodatabela"/>
        <w:jc w:val="center"/>
        <w:rPr>
          <w:rFonts w:ascii="Times New Roman" w:hAnsi="Times New Roman" w:cs="Times New Roman"/>
          <w:b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______________________________________</w:t>
      </w:r>
    </w:p>
    <w:p>
      <w:pPr>
        <w:pStyle w:val="Contedodatabela"/>
        <w:jc w:val="center"/>
        <w:rPr/>
      </w:pPr>
      <w:r>
        <w:rPr>
          <w:rFonts w:eastAsia="SimSun;宋体" w:cs="Times New Roman" w:ascii="Times New Roman" w:hAnsi="Times New Roman"/>
          <w:b w:val="false"/>
          <w:bCs w:val="false"/>
          <w:color w:val="auto"/>
          <w:kern w:val="2"/>
          <w:sz w:val="18"/>
          <w:szCs w:val="18"/>
          <w:lang w:val="pt-BR" w:eastAsia="zh-CN" w:bidi="hi-IN"/>
        </w:rPr>
        <w:t xml:space="preserve">EVANDRO </w:t>
      </w:r>
      <w:r>
        <w:rPr>
          <w:rFonts w:eastAsia="SimSun;宋体" w:cs="Times New Roman" w:ascii="Times New Roman" w:hAnsi="Times New Roman"/>
          <w:b/>
          <w:bCs/>
          <w:color w:val="auto"/>
          <w:kern w:val="2"/>
          <w:sz w:val="18"/>
          <w:szCs w:val="18"/>
          <w:lang w:val="pt-BR" w:eastAsia="zh-CN" w:bidi="hi-IN"/>
        </w:rPr>
        <w:t>DINIZ</w:t>
      </w:r>
      <w:r>
        <w:rPr>
          <w:rFonts w:eastAsia="SimSun;宋体" w:cs="Times New Roman" w:ascii="Times New Roman" w:hAnsi="Times New Roman"/>
          <w:b w:val="false"/>
          <w:bCs w:val="false"/>
          <w:color w:val="auto"/>
          <w:kern w:val="2"/>
          <w:sz w:val="18"/>
          <w:szCs w:val="18"/>
          <w:lang w:val="pt-BR" w:eastAsia="zh-CN" w:bidi="hi-IN"/>
        </w:rPr>
        <w:t xml:space="preserve"> DE MEDEIROS - ST</w:t>
      </w:r>
    </w:p>
    <w:p>
      <w:pPr>
        <w:pStyle w:val="Contedodatabela"/>
        <w:snapToGrid w:val="false"/>
        <w:spacing w:lineRule="auto" w:line="240" w:before="0" w:after="0"/>
        <w:jc w:val="center"/>
        <w:rPr>
          <w:rFonts w:ascii="Calibri" w:hAnsi="Calibri" w:cs="Open Sans" w:asciiTheme="minorHAnsi" w:hAnsiTheme="minorHAnsi"/>
        </w:rPr>
      </w:pPr>
      <w:r>
        <w:rPr>
          <w:rFonts w:eastAsia="SimSun;宋体" w:cs="Open Sans" w:ascii="Calibri" w:hAnsi="Calibri" w:asciiTheme="minorHAnsi" w:hAnsiTheme="minorHAnsi"/>
          <w:b w:val="false"/>
          <w:bCs w:val="false"/>
          <w:color w:val="auto"/>
          <w:kern w:val="2"/>
          <w:sz w:val="18"/>
          <w:szCs w:val="18"/>
          <w:lang w:val="pt-BR" w:eastAsia="zh-CN" w:bidi="hi-IN"/>
        </w:rPr>
        <w:t>AUXILIAR PMG</w:t>
      </w:r>
    </w:p>
    <w:p>
      <w:pPr>
        <w:pStyle w:val="Normal"/>
        <w:spacing w:lineRule="auto" w:line="240" w:before="0" w:after="0"/>
        <w:jc w:val="center"/>
        <w:rPr>
          <w:rFonts w:cs="LiberationSerif-Bold"/>
          <w:color w:val="000000"/>
          <w:sz w:val="24"/>
          <w:szCs w:val="24"/>
        </w:rPr>
      </w:pPr>
      <w:r>
        <w:rPr>
          <w:rFonts w:cs="LiberationSerif-Bold"/>
          <w:color w:val="000000"/>
          <w:sz w:val="24"/>
          <w:szCs w:val="24"/>
        </w:rPr>
      </w:r>
    </w:p>
    <w:p>
      <w:pPr>
        <w:pStyle w:val="Contedodatabela"/>
        <w:jc w:val="center"/>
        <w:rPr>
          <w:rFonts w:ascii="Calibri" w:hAnsi="Calibri" w:cs="Open Sans" w:asciiTheme="minorHAnsi" w:hAnsiTheme="minorHAnsi"/>
        </w:rPr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adea">
    <w:altName w:val="Cambria"/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tulo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Ttulo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2">
    <w:name w:val="Heading 2"/>
    <w:basedOn w:val="LONormal"/>
    <w:next w:val="LONormal"/>
    <w:qFormat/>
    <w:pPr>
      <w:keepNext w:val="true"/>
      <w:keepLines/>
      <w:numPr>
        <w:ilvl w:val="1"/>
        <w:numId w:val="1"/>
      </w:numPr>
      <w:suppressAutoHyphens w:val="true"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Ttulo4">
    <w:name w:val="Heading 4"/>
    <w:basedOn w:val="LONormal"/>
    <w:next w:val="LONormal"/>
    <w:qFormat/>
    <w:pPr>
      <w:keepNext w:val="true"/>
      <w:keepLines/>
      <w:numPr>
        <w:ilvl w:val="3"/>
        <w:numId w:val="1"/>
      </w:numPr>
      <w:suppressAutoHyphens w:val="true"/>
      <w:spacing w:before="40" w:after="0"/>
      <w:outlineLvl w:val="3"/>
    </w:pPr>
    <w:rPr>
      <w:rFonts w:ascii="Calibri Light" w:hAnsi="Calibri Light"/>
      <w:i/>
      <w:iCs/>
      <w:color w:val="2F549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semiHidden/>
    <w:qFormat/>
    <w:rsid w:val="00f53b30"/>
    <w:rPr>
      <w:rFonts w:ascii="Liberation Serif" w:hAnsi="Liberation Serif" w:eastAsia="SimSun" w:cs="Mangal"/>
      <w:kern w:val="2"/>
      <w:sz w:val="24"/>
      <w:szCs w:val="24"/>
      <w:lang w:eastAsia="zh-CN" w:bidi="hi-IN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80"/>
      <w:u w:val="single"/>
      <w:lang w:val="pt-BR" w:bidi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semiHidden/>
    <w:unhideWhenUsed/>
    <w:rsid w:val="00f53b30"/>
    <w:pPr>
      <w:widowControl w:val="false"/>
      <w:overflowPunct w:val="true"/>
      <w:spacing w:lineRule="auto" w:line="288" w:before="0" w:after="140"/>
    </w:pPr>
    <w:rPr>
      <w:rFonts w:ascii="Liberation Serif" w:hAnsi="Liberation Serif" w:eastAsia="SimSun" w:cs="Mangal"/>
      <w:kern w:val="2"/>
      <w:sz w:val="24"/>
      <w:szCs w:val="24"/>
      <w:lang w:eastAsia="zh-CN" w:bidi="hi-IN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9d46f5"/>
    <w:pPr>
      <w:spacing w:before="0" w:after="160"/>
      <w:ind w:left="720" w:hanging="0"/>
      <w:contextualSpacing/>
    </w:pPr>
    <w:rPr/>
  </w:style>
  <w:style w:type="paragraph" w:styleId="Textojustificadorecuoprimeiralinha" w:customStyle="1">
    <w:name w:val="texto_justificado_recuo_primeira_linha"/>
    <w:basedOn w:val="Normal"/>
    <w:qFormat/>
    <w:rsid w:val="00ba045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ontedodatabela" w:customStyle="1">
    <w:name w:val="Conteúdo da tabela"/>
    <w:basedOn w:val="Normal"/>
    <w:qFormat/>
    <w:rsid w:val="0013516d"/>
    <w:pPr>
      <w:widowControl w:val="false"/>
      <w:overflowPunct w:val="true"/>
      <w:spacing w:lineRule="auto" w:line="240" w:before="0" w:after="0"/>
    </w:pPr>
    <w:rPr>
      <w:rFonts w:ascii="Liberation Serif" w:hAnsi="Liberation Serif" w:eastAsia="SimSun" w:cs="Mangal"/>
      <w:kern w:val="2"/>
      <w:sz w:val="24"/>
      <w:szCs w:val="24"/>
      <w:lang w:eastAsia="zh-CN" w:bidi="hi-IN"/>
    </w:rPr>
  </w:style>
  <w:style w:type="paragraph" w:styleId="Contedodoquadro">
    <w:name w:val="Conteúdo do quadro"/>
    <w:basedOn w:val="Normal"/>
    <w:qFormat/>
    <w:pPr/>
    <w:rPr/>
  </w:style>
  <w:style w:type="paragraph" w:styleId="Corpodotextorecuado">
    <w:name w:val="Body Text Indent"/>
    <w:basedOn w:val="Normal"/>
    <w:pPr>
      <w:suppressAutoHyphens w:val="true"/>
      <w:ind w:left="0" w:right="0" w:firstLine="540"/>
    </w:pPr>
    <w:rPr/>
  </w:style>
  <w:style w:type="paragraph" w:styleId="LONormal">
    <w:name w:val="LO-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Western">
    <w:name w:val="western"/>
    <w:basedOn w:val="Normal"/>
    <w:qFormat/>
    <w:pPr>
      <w:suppressAutoHyphens w:val="false"/>
      <w:spacing w:before="100" w:after="119"/>
    </w:pPr>
    <w:rPr/>
  </w:style>
  <w:style w:type="paragraph" w:styleId="NormalWeb">
    <w:name w:val="Normal (Web)"/>
    <w:basedOn w:val="Normal"/>
    <w:qFormat/>
    <w:pPr>
      <w:widowControl/>
      <w:spacing w:before="280" w:after="280"/>
    </w:pPr>
    <w:rPr>
      <w:rFonts w:ascii="Times New Roman" w:hAnsi="Times New Roman" w:eastAsia="Times New Roman" w:cs="Times New Roman"/>
      <w:kern w:val="0"/>
      <w:lang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f07eb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hyperlink" Target="http://www.comprasgovernamentais.gov.br/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Application>LibreOffice/7.1.0.3$Windows_X86_64 LibreOffice_project/f6099ecf3d29644b5008cc8f48f42f4a40986e4c</Application>
  <AppVersion>15.0000</AppVersion>
  <Pages>4</Pages>
  <Words>1255</Words>
  <Characters>7400</Characters>
  <CharactersWithSpaces>8654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2022-10-28T13:26:00Z</dcterms:created>
  <dc:creator>Gabriela de Sousa Magalhaes</dc:creator>
  <dc:description/>
  <dc:language>pt-BR</dc:language>
  <cp:lastModifiedBy/>
  <cp:lastPrinted>2023-02-27T13:09:50Z</cp:lastPrinted>
  <dcterms:modified xsi:type="dcterms:W3CDTF">2023-02-27T13:10:59Z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